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21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постановление Правительства Ульяновской области от 12.02.2021 № 36-П и о признании утратившим силу отдельного положения </w:t>
      </w:r>
      <w:r>
        <w:rPr>
          <w:rFonts w:eastAsia="MS Mincho" w:ascii="PT Astra Serif" w:hAnsi="PT Astra Serif"/>
          <w:b/>
          <w:bCs/>
          <w:sz w:val="28"/>
          <w:szCs w:val="28"/>
        </w:rPr>
        <w:t>п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>остановления Правительства Ульяновской области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от 19.04.2021 </w:t>
      </w:r>
      <w:r>
        <w:rPr>
          <w:rFonts w:eastAsia="" w:cs="PT Astra Serif" w:ascii="PT Astra Serif" w:hAnsi="PT Astra Serif" w:eastAsiaTheme="minorEastAsia"/>
          <w:b/>
          <w:bCs/>
          <w:sz w:val="28"/>
          <w:szCs w:val="28"/>
          <w:lang w:eastAsia="en-US"/>
        </w:rPr>
        <w:t>№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 152-П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04 </w:t>
      </w:r>
      <w:r>
        <w:rPr>
          <w:rFonts w:ascii="PT Astra Serif" w:hAnsi="PT Astra Serif"/>
          <w:sz w:val="28"/>
          <w:szCs w:val="28"/>
          <w:lang w:val="ru-RU"/>
        </w:rPr>
        <w:t xml:space="preserve">апреля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12.02.2021 № 36-П и о признании утратившим силу отдельного положения </w:t>
      </w:r>
      <w:r>
        <w:rPr>
          <w:rFonts w:eastAsia="MS Mincho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остановления Правительства Ульяновской области от 19.04.2021 </w:t>
      </w:r>
      <w:r>
        <w:rPr>
          <w:rFonts w:eastAsia="" w:cs="PT Astra Serif" w:ascii="PT Astra Serif" w:hAnsi="PT Astra Serif" w:eastAsiaTheme="minorEastAsia"/>
          <w:b w:val="false"/>
          <w:bCs w:val="false"/>
          <w:sz w:val="28"/>
          <w:szCs w:val="28"/>
          <w:lang w:eastAsia="en-US"/>
        </w:rPr>
        <w:t>№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 152-П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в целях 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 xml:space="preserve">приведения постановления Правительства Ульяновской области от </w:t>
      </w:r>
      <w:r>
        <w:rPr>
          <w:rFonts w:eastAsia="" w:cs="PT Astra Serif" w:ascii="PT Astra Serif" w:hAnsi="PT Astra Serif" w:eastAsiaTheme="minorEastAsia"/>
          <w:b w:val="false"/>
          <w:bCs/>
          <w:kern w:val="2"/>
          <w:sz w:val="28"/>
          <w:szCs w:val="28"/>
          <w:lang w:eastAsia="zh-CN"/>
        </w:rPr>
        <w:t>20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>.0</w:t>
      </w:r>
      <w:r>
        <w:rPr>
          <w:rFonts w:eastAsia="" w:cs="PT Astra Serif" w:ascii="PT Astra Serif" w:hAnsi="PT Astra Serif" w:eastAsiaTheme="minorEastAsia"/>
          <w:b w:val="false"/>
          <w:bCs/>
          <w:kern w:val="2"/>
          <w:sz w:val="28"/>
          <w:szCs w:val="28"/>
          <w:lang w:eastAsia="zh-CN"/>
        </w:rPr>
        <w:t>2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>.20</w:t>
      </w:r>
      <w:r>
        <w:rPr>
          <w:rFonts w:eastAsia="" w:cs="PT Astra Serif" w:ascii="PT Astra Serif" w:hAnsi="PT Astra Serif" w:eastAsiaTheme="minorEastAsia"/>
          <w:b w:val="false"/>
          <w:bCs/>
          <w:kern w:val="2"/>
          <w:sz w:val="28"/>
          <w:szCs w:val="28"/>
          <w:lang w:eastAsia="zh-CN"/>
        </w:rPr>
        <w:t>21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 xml:space="preserve"> № </w:t>
      </w:r>
      <w:r>
        <w:rPr>
          <w:rFonts w:eastAsia="" w:cs="PT Astra Serif" w:ascii="PT Astra Serif" w:hAnsi="PT Astra Serif" w:eastAsiaTheme="minorEastAsia"/>
          <w:b w:val="false"/>
          <w:bCs/>
          <w:kern w:val="2"/>
          <w:sz w:val="28"/>
          <w:szCs w:val="28"/>
          <w:lang w:eastAsia="zh-CN"/>
        </w:rPr>
        <w:t>36</w:t>
      </w:r>
      <w:r>
        <w:rPr>
          <w:rFonts w:eastAsia="Calibri" w:cs="PT Astra Serif" w:ascii="PT Astra Serif" w:hAnsi="PT Astra Serif"/>
          <w:b w:val="false"/>
          <w:bCs/>
          <w:kern w:val="2"/>
          <w:sz w:val="28"/>
          <w:szCs w:val="28"/>
          <w:lang w:eastAsia="zh-CN"/>
        </w:rPr>
        <w:t>-П «Об утверждении Правил предоставления предприятиям хлебопекарной промышленности субсидий</w:t>
        <w:br/>
        <w:t xml:space="preserve">из областного бюджета Ульяновской области в целях возмещения части их затрат, связанных с реализацией произведённых и реализованных хлеба и хлебобулочных изделий» в соответствие с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постановлением Правительства Российской Федерации от 12.03.2022 № 347 «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О внесении изменений</w:t>
        <w:br/>
        <w:t>в постановление Правительства Российской Федерации от 17 декабря 2020 г.</w:t>
        <w:br/>
        <w:t>№ 2140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» (далее — постановление Правительства Российской Федерации</w:t>
        <w:br/>
        <w:t>от 12.03.2022 № 347)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Application>LibreOffice/6.4.7.2$Linux_X86_64 LibreOffice_project/40$Build-2</Application>
  <Pages>1</Pages>
  <Words>257</Words>
  <Characters>1986</Characters>
  <CharactersWithSpaces>2272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2022-04-20T16:28:06Z</cp:lastPrinted>
  <dcterms:modified xsi:type="dcterms:W3CDTF">2022-04-20T16:28:30Z</dcterms:modified>
  <cp:revision>73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